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73F7A"/>
          <w:sz w:val="40"/>
        </w:rPr>
        <w:t>Data Centers in Rural Communities</w:t>
      </w:r>
    </w:p>
    <w:p>
      <w:pPr>
        <w:jc w:val="center"/>
      </w:pPr>
      <w:r>
        <w:rPr>
          <w:b/>
          <w:sz w:val="26"/>
        </w:rPr>
        <w:t>A Discussion Reference for McCormick County</w:t>
      </w:r>
    </w:p>
    <w:p>
      <w:pPr>
        <w:jc w:val="center"/>
      </w:pPr>
      <w:r>
        <w:rPr>
          <w:i/>
          <w:color w:val="5A6978"/>
          <w:sz w:val="18"/>
        </w:rPr>
        <w:t>Prepared by McCormick First • Discussion Draft</w:t>
      </w:r>
    </w:p>
    <w:p>
      <w:r>
        <w:rPr>
          <w:b/>
        </w:rPr>
        <w:t xml:space="preserve">Purpose. </w:t>
      </w:r>
      <w:r>
        <w:t>This document is intended to support constructive discussion among residents with differing views on data center development. It places commonly raised concerns beside credible counterpoints and identifies the project-specific information McCormick County would need to evaluate an actual proposal. It is not a recommendation for or against a data center.</w:t>
      </w:r>
    </w:p>
    <w:p>
      <w:r>
        <w:rPr>
          <w:b/>
        </w:rPr>
        <w:t xml:space="preserve">Working principle: </w:t>
      </w:r>
      <w:r>
        <w:rPr>
          <w:b/>
        </w:rPr>
        <w:t>Potential benefits are real. Potential costs are real. Neither should be assumed. Get the proposal, get the numbers, establish the guardrails, and then evaluate the project.</w:t>
      </w:r>
    </w:p>
    <w:p>
      <w:r>
        <w:rPr>
          <w:b/>
        </w:rPr>
        <w:t xml:space="preserve">Evidence note. </w:t>
      </w:r>
      <w:r>
        <w:t>Rural-specific evidence remains limited. Brookings’ rural-community work is used where applicable. Its separate 2026 employment study examined 93 U.S. counties receiving a first large data center, but was not limited to rural counties; those statistics are therefore labeled as broader county-level evidence.</w:t>
      </w:r>
    </w:p>
    <w:p>
      <w:pPr>
        <w:spacing w:after="100"/>
      </w:pPr>
      <w:r>
        <w:rPr>
          <w:b/>
          <w:color w:val="173F7A"/>
        </w:rPr>
        <w:t>Status guide: KNOWN = supported by current documents/direct statements; CONCEPTUAL = discussed but not yet supported by a final developer/operator design; UNKNOWN = requires the eventual technical proposal.</w:t>
      </w:r>
    </w:p>
    <w:tbl>
      <w:tblPr>
        <w:tblStyle w:val="TableGrid"/>
        <w:tblW w:type="auto" w:w="0"/>
        <w:jc w:val="center"/>
        <w:tblLayout w:type="fixed"/>
        <w:tblLook w:firstColumn="1" w:firstRow="1" w:lastColumn="0" w:lastRow="0" w:noHBand="0" w:noVBand="1" w:val="04A0"/>
      </w:tblPr>
      <w:tblGrid>
        <w:gridCol w:w="3564"/>
        <w:gridCol w:w="3564"/>
        <w:gridCol w:w="3564"/>
        <w:gridCol w:w="3564"/>
      </w:tblGrid>
      <w:tr>
        <w:trPr>
          <w:cantSplit/>
        </w:trPr>
        <w:tc>
          <w:tcPr>
            <w:tcW w:type="dxa" w:w="2088"/>
            <w:shd w:fill="173F7A"/>
          </w:tcPr>
          <w:p>
            <w:pPr>
              <w:jc w:val="center"/>
            </w:pPr>
            <w:r>
              <w:rPr>
                <w:b/>
                <w:color w:val="FFFFFF"/>
                <w:sz w:val="18"/>
              </w:rPr>
              <w:t>Topic</w:t>
            </w:r>
          </w:p>
        </w:tc>
        <w:tc>
          <w:tcPr>
            <w:tcW w:type="dxa" w:w="3816"/>
            <w:shd w:fill="173F7A"/>
          </w:tcPr>
          <w:p>
            <w:pPr>
              <w:jc w:val="center"/>
            </w:pPr>
            <w:r>
              <w:rPr>
                <w:b/>
                <w:color w:val="FFFFFF"/>
                <w:sz w:val="18"/>
              </w:rPr>
              <w:t>Concern / Risk to Evaluate</w:t>
            </w:r>
          </w:p>
        </w:tc>
        <w:tc>
          <w:tcPr>
            <w:tcW w:type="dxa" w:w="4968"/>
            <w:shd w:fill="173F7A"/>
          </w:tcPr>
          <w:p>
            <w:pPr>
              <w:jc w:val="center"/>
            </w:pPr>
            <w:r>
              <w:rPr>
                <w:b/>
                <w:color w:val="FFFFFF"/>
                <w:sz w:val="18"/>
              </w:rPr>
              <w:t>Counterpoint / Potential Benefit or Mitigation</w:t>
            </w:r>
          </w:p>
        </w:tc>
        <w:tc>
          <w:tcPr>
            <w:tcW w:type="dxa" w:w="4320"/>
            <w:shd w:fill="173F7A"/>
          </w:tcPr>
          <w:p>
            <w:pPr>
              <w:jc w:val="center"/>
            </w:pPr>
            <w:r>
              <w:rPr>
                <w:b/>
                <w:color w:val="FFFFFF"/>
                <w:sz w:val="18"/>
              </w:rPr>
              <w:t>Questions McCormick Should Answer</w:t>
            </w:r>
          </w:p>
        </w:tc>
      </w:tr>
      <w:tr>
        <w:trPr>
          <w:cantSplit/>
        </w:trPr>
        <w:tc>
          <w:tcPr>
            <w:tcW w:type="dxa" w:w="2088"/>
            <w:vAlign w:val="top"/>
          </w:tcPr>
          <w:p>
            <w:pPr>
              <w:spacing w:after="0"/>
            </w:pPr>
            <w:r>
              <w:rPr>
                <w:b/>
                <w:color w:val="173F7A"/>
                <w:sz w:val="16"/>
              </w:rPr>
              <w:t>Rural siting</w:t>
            </w:r>
          </w:p>
        </w:tc>
        <w:tc>
          <w:tcPr>
            <w:tcW w:type="dxa" w:w="3816"/>
            <w:vAlign w:val="top"/>
          </w:tcPr>
          <w:p>
            <w:pPr>
              <w:spacing w:after="0"/>
            </w:pPr>
            <w:r>
              <w:rPr>
                <w:sz w:val="16"/>
              </w:rPr>
              <w:t>Smaller rural governments may have limited planning staff and technical capacity, while large projects can create pressure to act quickly.</w:t>
            </w:r>
          </w:p>
        </w:tc>
        <w:tc>
          <w:tcPr>
            <w:tcW w:type="dxa" w:w="4968"/>
            <w:vAlign w:val="top"/>
          </w:tcPr>
          <w:p>
            <w:pPr>
              <w:spacing w:after="0"/>
            </w:pPr>
            <w:r>
              <w:rPr>
                <w:sz w:val="16"/>
              </w:rPr>
              <w:t>Rural locations can also offer legitimate advantages: available land, energy access, infrastructure corridors, and room for buffers. Rural siting itself does not establish exploitation.</w:t>
            </w:r>
          </w:p>
        </w:tc>
        <w:tc>
          <w:tcPr>
            <w:tcW w:type="dxa" w:w="4320"/>
            <w:vAlign w:val="top"/>
          </w:tcPr>
          <w:p>
            <w:pPr>
              <w:spacing w:after="0"/>
            </w:pPr>
            <w:r>
              <w:rPr>
                <w:sz w:val="16"/>
              </w:rPr>
              <w:t>What independent legal, engineering, utility, environmental, and financial expertise should the County use before a final commitment?</w:t>
            </w:r>
          </w:p>
        </w:tc>
      </w:tr>
      <w:tr>
        <w:trPr>
          <w:cantSplit/>
        </w:trPr>
        <w:tc>
          <w:tcPr>
            <w:tcW w:type="dxa" w:w="3564"/>
          </w:tcPr>
          <w:p>
            <w:r/>
            <w:r>
              <w:rPr>
                <w:b/>
                <w:color w:val="173F7A"/>
                <w:sz w:val="16"/>
              </w:rPr>
              <w:t>Construction impacts</w:t>
            </w:r>
          </w:p>
        </w:tc>
        <w:tc>
          <w:tcPr>
            <w:tcW w:type="dxa" w:w="3564"/>
          </w:tcPr>
          <w:p>
            <w:r/>
            <w:r>
              <w:rPr>
                <w:sz w:val="16"/>
              </w:rPr>
              <w:t>Large-scale site preparation and construction can create significant temporary impacts for nearby rural residents, including heavy truck traffic, dust, blasting or rock excavation, noise, lighting, stormwater changes, road wear, and potential effects on nearby wells or structures. A 2026 Louisa County, Virginia lawsuit involving construction of a large data-center campus provides a real case study of alleged noise, dust/debris, access, water, flooding, lighting, and property-damage impacts; the allegations are not proof that such impacts occur at every project.</w:t>
            </w:r>
          </w:p>
        </w:tc>
        <w:tc>
          <w:tcPr>
            <w:tcW w:type="dxa" w:w="3564"/>
          </w:tcPr>
          <w:p>
            <w:r/>
            <w:r>
              <w:rPr>
                <w:sz w:val="16"/>
              </w:rPr>
              <w:t>These are primarily construction-management risks rather than unavoidable operating characteristics of data centers. Their severity depends on site conditions, distance from residences, construction methods, truck routes, work-hour limits, stormwater controls, monitoring, and enforcement. Strong construction standards can protect residents while also giving the developer clear expectations and baseline documentation.</w:t>
            </w:r>
          </w:p>
        </w:tc>
        <w:tc>
          <w:tcPr>
            <w:tcW w:type="dxa" w:w="3564"/>
          </w:tcPr>
          <w:p>
            <w:r/>
            <w:r>
              <w:rPr>
                <w:sz w:val="16"/>
              </w:rPr>
              <w:t>What routes will construction traffic use? What are permitted work hours and lighting limits? Will blasting or major rock excavation be required? Will nearby homes, wells, and structures receive pre-construction baseline inspections? What dust, erosion, stormwater, road-repair, and complaint-response requirements will apply? Who investigates and pays valid damage claims?</w:t>
            </w:r>
          </w:p>
        </w:tc>
      </w:tr>
      <w:tr>
        <w:trPr>
          <w:cantSplit/>
        </w:trPr>
        <w:tc>
          <w:tcPr>
            <w:tcW w:type="dxa" w:w="2088"/>
            <w:vAlign w:val="top"/>
            <w:shd w:fill="F4F7FA"/>
          </w:tcPr>
          <w:p>
            <w:r/>
            <w:r>
              <w:rPr>
                <w:b/>
                <w:sz w:val="17"/>
              </w:rPr>
              <w:t>Jobs &amp; local workforce</w:t>
            </w:r>
          </w:p>
        </w:tc>
        <w:tc>
          <w:tcPr>
            <w:tcW w:type="dxa" w:w="3816"/>
            <w:vAlign w:val="top"/>
            <w:shd w:fill="F4F7FA"/>
          </w:tcPr>
          <w:p>
            <w:r/>
            <w:r>
              <w:rPr>
                <w:b w:val="0"/>
                <w:sz w:val="17"/>
              </w:rPr>
              <w:t>Data centers are capital-intensive rather than labor-intensive. Construction can require large numbers of workers and specialized trades, while permanent operating staffs are typically much smaller than construction workforces. A very large investment figure therefore should not be treated as a proxy for permanent local employment or payroll-driven economic activity.</w:t>
            </w:r>
          </w:p>
        </w:tc>
        <w:tc>
          <w:tcPr>
            <w:tcW w:type="dxa" w:w="4968"/>
            <w:vAlign w:val="top"/>
            <w:shd w:fill="F4F7FA"/>
          </w:tcPr>
          <w:p>
            <w:r/>
            <w:r>
              <w:rPr>
                <w:b w:val="0"/>
                <w:sz w:val="17"/>
              </w:rPr>
              <w:t>The same capital-intensive model can be attractive to a host community: substantial taxable investment may be created without the population growth, school enrollment, commuter traffic, housing demand, and public-service needs associated with a similarly sized labor-intensive employer. Construction activity, technical positions, supplier spending, and induced activity can add benefits beyond direct permanent staffing.</w:t>
            </w:r>
          </w:p>
        </w:tc>
        <w:tc>
          <w:tcPr>
            <w:tcW w:type="dxa" w:w="4320"/>
            <w:vAlign w:val="top"/>
            <w:shd w:fill="F4F7FA"/>
          </w:tcPr>
          <w:p>
            <w:r/>
            <w:r>
              <w:rPr>
                <w:b w:val="0"/>
                <w:sz w:val="17"/>
              </w:rPr>
              <w:t>For the actual proposal, how many construction and permanent direct jobs are projected, by occupation and wage? How many are expected to be filled locally? What training or apprenticeship commitments are proposed? What indirect and induced activity is projected, and by whom? How does projected public revenue compare with employment and service demands?</w:t>
            </w:r>
          </w:p>
        </w:tc>
      </w:tr>
      <w:tr>
        <w:trPr>
          <w:cantSplit/>
        </w:trPr>
        <w:tc>
          <w:tcPr>
            <w:tcW w:type="dxa" w:w="2088"/>
            <w:vAlign w:val="top"/>
          </w:tcPr>
          <w:p>
            <w:r/>
            <w:r>
              <w:rPr>
                <w:b/>
                <w:sz w:val="17"/>
              </w:rPr>
              <w:t>Tax revenue, FILOTs &amp; net fiscal benefit</w:t>
            </w:r>
          </w:p>
        </w:tc>
        <w:tc>
          <w:tcPr>
            <w:tcW w:type="dxa" w:w="3816"/>
            <w:vAlign w:val="top"/>
          </w:tcPr>
          <w:p>
            <w:r/>
            <w:r>
              <w:rPr>
                <w:b w:val="0"/>
                <w:sz w:val="17"/>
              </w:rPr>
              <w:t>A headline capital-investment figure or gross FILOT payment is not the same as net fiscal benefit. South Carolina FILOT agreements are negotiated property-tax incentives. Depending on qualification and agreement terms, assessment ratios can be reduced from 10.5% to 6% or, for qualifying very large investments, to 4%; millage treatment and credits can also affect the fee. Personal property subject to FILOT generally depreciates under South Carolina law. Project-specific public costs and other incentives also matter.</w:t>
            </w:r>
          </w:p>
        </w:tc>
        <w:tc>
          <w:tcPr>
            <w:tcW w:type="dxa" w:w="4968"/>
            <w:vAlign w:val="top"/>
          </w:tcPr>
          <w:p>
            <w:r/>
            <w:r>
              <w:rPr>
                <w:b w:val="0"/>
                <w:sz w:val="17"/>
              </w:rPr>
              <w:t>FILOTs can still generate substantial, predictable local revenue and are designed to attract major capital investment. South Carolina DOR notes that the county grants the agreement at its discretion and negotiates key terms. A data center may also expand the industrial tax base without creating the same service demands as a large population-intensive employer. The relevant comparison is not simply 'incentive versus no incentive,' but the negotiated project's expected fiscal result versus realistic alternatives.</w:t>
            </w:r>
          </w:p>
        </w:tc>
        <w:tc>
          <w:tcPr>
            <w:tcW w:type="dxa" w:w="4320"/>
            <w:vAlign w:val="top"/>
          </w:tcPr>
          <w:p>
            <w:r/>
            <w:r>
              <w:rPr>
                <w:b w:val="0"/>
                <w:sz w:val="17"/>
              </w:rPr>
              <w:t>What would the project's annual property-tax obligation be under otherwise applicable taxation, and what would it be under the proposed FILOT? What assessment ratio, millage treatment, credits, term, depreciation assumptions, and revenue-sharing arrangements apply? What other state/local incentives or exemptions apply? What project-specific public costs would remain with the County, utilities, schools, or other public entities? What is the projected annual and lifetime NET fiscal benefit under conservative assumptions?</w:t>
            </w:r>
          </w:p>
        </w:tc>
      </w:tr>
      <w:tr>
        <w:trPr>
          <w:cantSplit/>
        </w:trPr>
        <w:tc>
          <w:tcPr>
            <w:tcW w:type="dxa" w:w="2088"/>
            <w:vAlign w:val="top"/>
            <w:shd w:fill="F4F7FA"/>
          </w:tcPr>
          <w:p>
            <w:r/>
            <w:r>
              <w:rPr>
                <w:b/>
                <w:color w:val="173F7A"/>
                <w:sz w:val="16"/>
              </w:rPr>
              <w:t>Water</w:t>
            </w:r>
          </w:p>
        </w:tc>
        <w:tc>
          <w:tcPr>
            <w:tcW w:type="dxa" w:w="3816"/>
            <w:vAlign w:val="top"/>
            <w:shd w:fill="F4F7FA"/>
          </w:tcPr>
          <w:p>
            <w:r>
              <w:t>Water-intensive cooling can place a disproportionate burden on a smaller rural utility. A key technical distinction is that a 'closed-loop' coolant circuit does not by itself establish low total water use: some closed loops ultimately reject heat through evaporative cooling towers that require makeup water and produce blowdown. Actual water demand depends on the full heat-rejection design.</w:t>
            </w:r>
          </w:p>
        </w:tc>
        <w:tc>
          <w:tcPr>
            <w:tcW w:type="dxa" w:w="4968"/>
            <w:vAlign w:val="top"/>
            <w:shd w:fill="F4F7FA"/>
          </w:tcPr>
          <w:p>
            <w:r>
              <w:t>High cooling-water consumption is not technologically inevitable. U.S. Department of Energy guidance identifies dry coolers, air-side economizing, direct liquid cooling, and other approaches that can reduce direct water use; DOE also notes that dry cooling can carry an electrical-energy penalty compared with evaporative cooling. As industry examples rather than independent evidence, Microsoft reports deploying next-generation closed-loop designs intended to consume zero water for cooling, and Novva reports operating facilities with air-cooled, water-free heat rejection. These examples show available mitigation options, but company performance claims should be treated as company-reported until independently verified.</w:t>
            </w:r>
          </w:p>
        </w:tc>
        <w:tc>
          <w:tcPr>
            <w:tcW w:type="dxa" w:w="4320"/>
            <w:vAlign w:val="top"/>
            <w:shd w:fill="F4F7FA"/>
          </w:tcPr>
          <w:p>
            <w:r>
              <w:t>What cooling technology and heat-rejection method are proposed for each building? What are maximum-day and annual withdrawal and consumption? How much water is lost to evaporation? Is there blowdown or chemically treated discharge? What is the drought/heat-wave operating plan? What additional electric load results from the selected cooling design? If lower-water technology is technically feasible, what design standard or performance limit should McCormick County require, and how would compliance be verified?</w:t>
            </w:r>
          </w:p>
        </w:tc>
      </w:tr>
      <w:tr>
        <w:trPr>
          <w:cantSplit/>
        </w:trPr>
        <w:tc>
          <w:tcPr>
            <w:tcW w:type="dxa" w:w="2088"/>
            <w:vAlign w:val="top"/>
          </w:tcPr>
          <w:p>
            <w:pPr>
              <w:spacing w:after="0"/>
            </w:pPr>
            <w:r>
              <w:rPr>
                <w:b/>
                <w:color w:val="173F7A"/>
                <w:sz w:val="16"/>
              </w:rPr>
              <w:t>Electricity / gas infrastructure</w:t>
            </w:r>
          </w:p>
        </w:tc>
        <w:tc>
          <w:tcPr>
            <w:tcW w:type="dxa" w:w="3816"/>
            <w:vAlign w:val="top"/>
          </w:tcPr>
          <w:p>
            <w:pPr>
              <w:spacing w:after="0"/>
            </w:pPr>
            <w:r>
              <w:rPr>
                <w:sz w:val="16"/>
              </w:rPr>
              <w:t>Large new loads may require substations, transmission, generation, pipelines, or other infrastructure and can raise concern about who bears the cost.</w:t>
            </w:r>
          </w:p>
        </w:tc>
        <w:tc>
          <w:tcPr>
            <w:tcW w:type="dxa" w:w="4968"/>
            <w:vAlign w:val="top"/>
          </w:tcPr>
          <w:p>
            <w:pPr>
              <w:spacing w:after="0"/>
            </w:pPr>
            <w:r>
              <w:rPr>
                <w:sz w:val="16"/>
              </w:rPr>
              <w:t>Cost shifting is not inevitable. Large-load tariffs, minimum-payment commitments, direct project funding, and utility contracts can place incremental costs on the new customer.</w:t>
            </w:r>
          </w:p>
        </w:tc>
        <w:tc>
          <w:tcPr>
            <w:tcW w:type="dxa" w:w="4320"/>
            <w:vAlign w:val="top"/>
          </w:tcPr>
          <w:p>
            <w:pPr>
              <w:spacing w:after="0"/>
            </w:pPr>
            <w:r>
              <w:rPr>
                <w:sz w:val="16"/>
              </w:rPr>
              <w:t>Which upgrades are required, who pays for each one, and what protections exist for existing customers if projected demand changes or the project does not proceed?</w:t>
            </w:r>
          </w:p>
        </w:tc>
      </w:tr>
      <w:tr>
        <w:trPr>
          <w:cantSplit/>
        </w:trPr>
        <w:tc>
          <w:tcPr>
            <w:tcW w:type="dxa" w:w="3564"/>
            <w:vAlign w:val="top"/>
          </w:tcPr>
          <w:p>
            <w:r/>
            <w:r>
              <w:rPr>
                <w:b/>
                <w:color w:val="173F7A"/>
                <w:sz w:val="16"/>
              </w:rPr>
              <w:t>Energy &amp; potential on-site natural gas generation</w:t>
            </w:r>
          </w:p>
        </w:tc>
        <w:tc>
          <w:tcPr>
            <w:tcW w:type="dxa" w:w="3564"/>
            <w:vAlign w:val="top"/>
          </w:tcPr>
          <w:p>
            <w:r/>
            <w:r>
              <w:rPr>
                <w:sz w:val="16"/>
              </w:rPr>
              <w:t>KNOWN / CONCEPTUAL: The concept discussed is five approximately 100,000 sq. ft. data-center buildings (about 500,000 sq. ft. total). On-site natural-gas generation and new gas infrastructure have been discussed. UNKNOWN: turbine count/type, MW capacity, operating profile, emissions, cooling system, and final pipeline requirements.</w:t>
            </w:r>
          </w:p>
        </w:tc>
        <w:tc>
          <w:tcPr>
            <w:tcW w:type="dxa" w:w="3564"/>
            <w:vAlign w:val="top"/>
          </w:tcPr>
          <w:p>
            <w:r/>
            <w:r>
              <w:rPr>
                <w:sz w:val="16"/>
              </w:rPr>
              <w:t>On-site gas generation could provide reliable primary, supplemental, or backup power and may reduce some immediate grid-expansion needs. Modern turbine technology and emissions controls can materially affect efficiency, noise, and emissions. Water use also varies sharply: simple-cycle turbines can use relatively little water, while combined-cycle systems with wet cooling can consume meaningful water; dry or hybrid cooling can greatly reduce that demand.</w:t>
            </w:r>
          </w:p>
        </w:tc>
        <w:tc>
          <w:tcPr>
            <w:tcW w:type="dxa" w:w="3564"/>
            <w:vAlign w:val="top"/>
          </w:tcPr>
          <w:p>
            <w:r/>
            <w:r>
              <w:rPr>
                <w:sz w:val="16"/>
              </w:rPr>
              <w:t>What is total projected MW demand? Is gas generation primary, supplemental, or backup? Simple-cycle or combined-cycle? Wet, dry, or hybrid cooling? How many turbines and operating hours? What are projected NOx, CO, PM and CO2 emissions and permit requirements? What are maximum daily water withdrawal and consumption for power generation, stated separately from data-center cooling? Who owns/pays for the pipeline and generating plant, and what grid connection remains necessary?</w:t>
            </w:r>
          </w:p>
        </w:tc>
      </w:tr>
      <w:tr>
        <w:trPr>
          <w:cantSplit/>
        </w:trPr>
        <w:tc>
          <w:tcPr>
            <w:tcW w:type="dxa" w:w="3564"/>
          </w:tcPr>
          <w:p>
            <w:r/>
            <w:r>
              <w:rPr>
                <w:b/>
                <w:color w:val="173F7A"/>
                <w:sz w:val="16"/>
              </w:rPr>
              <w:t>Natural gas pipeline - community access</w:t>
            </w:r>
          </w:p>
        </w:tc>
        <w:tc>
          <w:tcPr>
            <w:tcW w:type="dxa" w:w="3564"/>
          </w:tcPr>
          <w:p>
            <w:r/>
            <w:r>
              <w:rPr>
                <w:sz w:val="16"/>
              </w:rPr>
              <w:t>A major gas-line extension has been discussed as part of the project. The contributed research raises an important question: a pipeline built to serve a data center does not automatically mean homes or other businesses can connect to it. Access depends on ownership, regulatory status, pressure, capacity, metering/gate stations, local distribution infrastructure, and contract terms.</w:t>
            </w:r>
          </w:p>
        </w:tc>
        <w:tc>
          <w:tcPr>
            <w:tcW w:type="dxa" w:w="3564"/>
          </w:tcPr>
          <w:p>
            <w:r/>
            <w:r>
              <w:rPr>
                <w:sz w:val="16"/>
              </w:rPr>
              <w:t>The opposite assumption is also unsafe. A regulated utility expansion may be designed with additional capacity or future tap points that can support other industrial, commercial, or community users. Whether that becomes a broader McCormick asset depends on how the line is engineered and the agreements negotiated before construction.</w:t>
            </w:r>
          </w:p>
        </w:tc>
        <w:tc>
          <w:tcPr>
            <w:tcW w:type="dxa" w:w="3564"/>
          </w:tcPr>
          <w:p>
            <w:r/>
            <w:r>
              <w:rPr>
                <w:sz w:val="16"/>
              </w:rPr>
              <w:t>Who will own and regulate the line? Is it a private dedicated lateral or part of a regulated utility system? Will it include capacity, gate stations, pressure-reduction facilities, and contractual rights for future McCormick users? Who pays for those additions? Are future local connections guaranteed in writing or only considered possible?</w:t>
            </w:r>
          </w:p>
        </w:tc>
      </w:tr>
      <w:tr>
        <w:trPr>
          <w:cantSplit/>
        </w:trPr>
        <w:tc>
          <w:tcPr>
            <w:tcW w:type="dxa" w:w="2088"/>
            <w:vAlign w:val="top"/>
            <w:shd w:fill="F4F7FA"/>
          </w:tcPr>
          <w:p>
            <w:r/>
            <w:r>
              <w:rPr>
                <w:b/>
                <w:color w:val="173F7A"/>
                <w:sz w:val="16"/>
              </w:rPr>
              <w:t>Residential property values &amp; marketability</w:t>
            </w:r>
          </w:p>
        </w:tc>
        <w:tc>
          <w:tcPr>
            <w:tcW w:type="dxa" w:w="3816"/>
            <w:vAlign w:val="top"/>
            <w:shd w:fill="F4F7FA"/>
          </w:tcPr>
          <w:p>
            <w:r/>
            <w:r>
              <w:rPr>
                <w:sz w:val="16"/>
              </w:rPr>
              <w:t>Noise, lighting, visibility, industrial character, construction impacts, or nearby utility infrastructure could affect some residential properties. The expanded contributed research also cites public-opinion surveys showing reluctance to live near data centers; those surveys may indicate marketability concerns but do not, by themselves, prove a decline in appraised or sale value.</w:t>
            </w:r>
          </w:p>
        </w:tc>
        <w:tc>
          <w:tcPr>
            <w:tcW w:type="dxa" w:w="4968"/>
            <w:vAlign w:val="top"/>
            <w:shd w:fill="F4F7FA"/>
          </w:tcPr>
          <w:p>
            <w:r/>
            <w:r>
              <w:rPr>
                <w:sz w:val="16"/>
              </w:rPr>
              <w:t>Independent rural-specific valuation evidence remains limited. Broader county-level research has not shown a consistent countywide home-price decline, and industry research argues well-sited facilities need not reduce values. Impacts are more plausibly location-specific - distance, line of sight, noise, traffic, transmission infrastructure, and the character of the surrounding market matter.</w:t>
            </w:r>
          </w:p>
        </w:tc>
        <w:tc>
          <w:tcPr>
            <w:tcW w:type="dxa" w:w="4320"/>
            <w:vAlign w:val="top"/>
            <w:shd w:fill="F4F7FA"/>
          </w:tcPr>
          <w:p>
            <w:r/>
            <w:r>
              <w:rPr>
                <w:sz w:val="16"/>
              </w:rPr>
              <w:t>Before drawing conclusions, obtain rural comparable-sales analysis by distance from existing facilities, days-on-market data where available, appraiser review, and modeled noise/visibility/traffic impacts. Separate 'Would you prefer not to live near one?' from 'What measurable effect did it have on actual sales and values?'</w:t>
            </w:r>
          </w:p>
        </w:tc>
      </w:tr>
      <w:tr>
        <w:trPr>
          <w:cantSplit/>
        </w:trPr>
        <w:tc>
          <w:tcPr>
            <w:tcW w:type="dxa" w:w="2088"/>
            <w:vAlign w:val="top"/>
          </w:tcPr>
          <w:p>
            <w:pPr>
              <w:spacing w:after="0"/>
            </w:pPr>
            <w:r>
              <w:rPr>
                <w:b/>
                <w:color w:val="173F7A"/>
                <w:sz w:val="16"/>
              </w:rPr>
              <w:t>Noise</w:t>
            </w:r>
          </w:p>
        </w:tc>
        <w:tc>
          <w:tcPr>
            <w:tcW w:type="dxa" w:w="3816"/>
            <w:vAlign w:val="top"/>
          </w:tcPr>
          <w:p>
            <w:pPr>
              <w:spacing w:after="0"/>
            </w:pPr>
            <w:r>
              <w:rPr>
                <w:sz w:val="16"/>
              </w:rPr>
              <w:t>Continuous mechanical equipment can be more noticeable where rural nighttime background sound is low.</w:t>
            </w:r>
          </w:p>
        </w:tc>
        <w:tc>
          <w:tcPr>
            <w:tcW w:type="dxa" w:w="4968"/>
            <w:vAlign w:val="top"/>
          </w:tcPr>
          <w:p>
            <w:pPr>
              <w:spacing w:after="0"/>
            </w:pPr>
            <w:r>
              <w:rPr>
                <w:sz w:val="16"/>
              </w:rPr>
              <w:t>Noise impacts vary substantially with cooling technology, equipment placement, terrain, setbacks, acoustic enclosures, silencers, and enforceable operating limits.</w:t>
            </w:r>
          </w:p>
          <w:p>
            <w:pPr>
              <w:spacing w:before="40"/>
            </w:pPr>
            <w:r>
              <w:rPr>
                <w:b/>
                <w:sz w:val="16"/>
              </w:rPr>
              <w:t xml:space="preserve">General sound reference: </w:t>
            </w:r>
            <w:hyperlink r:id="rId10">
              <w:r>
                <w:rPr>
                  <w:color w:val="0563C1"/>
                  <w:u w:val="single"/>
                  <w:sz w:val="17"/>
                </w:rPr>
                <w:t>Soundproofing Guide - Decibel Level Comparison Chart</w:t>
              </w:r>
            </w:hyperlink>
            <w:r>
              <w:rPr>
                <w:sz w:val="16"/>
              </w:rPr>
              <w:t>. Useful for putting dBA values into everyday context; not a data-center acoustical study or regulatory standard.</w:t>
            </w:r>
          </w:p>
        </w:tc>
        <w:tc>
          <w:tcPr>
            <w:tcW w:type="dxa" w:w="4320"/>
            <w:vAlign w:val="top"/>
          </w:tcPr>
          <w:p>
            <w:pPr>
              <w:spacing w:after="0"/>
            </w:pPr>
            <w:r>
              <w:rPr>
                <w:sz w:val="16"/>
              </w:rPr>
              <w:t>What is the existing ambient baseline? What modeled and enforceable daytime/nighttime limits will apply at property lines and nearby residences, including low-frequency sound?</w:t>
            </w:r>
          </w:p>
        </w:tc>
      </w:tr>
      <w:tr>
        <w:trPr>
          <w:cantSplit/>
        </w:trPr>
        <w:tc>
          <w:tcPr>
            <w:tcW w:type="dxa" w:w="2088"/>
            <w:vAlign w:val="top"/>
            <w:shd w:fill="F4F7FA"/>
          </w:tcPr>
          <w:p>
            <w:pPr>
              <w:spacing w:after="0"/>
            </w:pPr>
            <w:r>
              <w:rPr>
                <w:b/>
                <w:color w:val="173F7A"/>
                <w:sz w:val="16"/>
              </w:rPr>
              <w:t>Public process &amp; timeline</w:t>
            </w:r>
          </w:p>
        </w:tc>
        <w:tc>
          <w:tcPr>
            <w:tcW w:type="dxa" w:w="3816"/>
            <w:vAlign w:val="top"/>
            <w:shd w:fill="F4F7FA"/>
          </w:tcPr>
          <w:p>
            <w:pPr>
              <w:spacing w:after="0"/>
            </w:pPr>
            <w:r>
              <w:rPr>
                <w:sz w:val="16"/>
              </w:rPr>
              <w:t>A small county can face technical and financial decisions faster than its staff and residents can reasonably evaluate them.</w:t>
            </w:r>
          </w:p>
        </w:tc>
        <w:tc>
          <w:tcPr>
            <w:tcW w:type="dxa" w:w="4968"/>
            <w:vAlign w:val="top"/>
            <w:shd w:fill="F4F7FA"/>
          </w:tcPr>
          <w:p>
            <w:pPr>
              <w:spacing w:after="0"/>
            </w:pPr>
            <w:r>
              <w:rPr>
                <w:sz w:val="16"/>
              </w:rPr>
              <w:t>Developers and utilities may also have legitimate commercial schedules. A compressed schedule does not by itself prove an intent to suppress participation.</w:t>
            </w:r>
          </w:p>
        </w:tc>
        <w:tc>
          <w:tcPr>
            <w:tcW w:type="dxa" w:w="4320"/>
            <w:vAlign w:val="top"/>
            <w:shd w:fill="F4F7FA"/>
          </w:tcPr>
          <w:p>
            <w:pPr>
              <w:spacing w:after="0"/>
            </w:pPr>
            <w:r>
              <w:rPr>
                <w:sz w:val="16"/>
              </w:rPr>
              <w:t>Which deadlines are externally required, which are commercially preferred, and what information must be available before each public decision?</w:t>
            </w:r>
          </w:p>
        </w:tc>
      </w:tr>
      <w:tr>
        <w:trPr>
          <w:cantSplit/>
        </w:trPr>
        <w:tc>
          <w:tcPr>
            <w:tcW w:type="dxa" w:w="2088"/>
            <w:vAlign w:val="top"/>
          </w:tcPr>
          <w:p>
            <w:pPr>
              <w:spacing w:after="0"/>
            </w:pPr>
            <w:r>
              <w:rPr>
                <w:b/>
                <w:color w:val="173F7A"/>
                <w:sz w:val="16"/>
              </w:rPr>
              <w:t>Moratorium / temporary pause</w:t>
            </w:r>
          </w:p>
        </w:tc>
        <w:tc>
          <w:tcPr>
            <w:tcW w:type="dxa" w:w="3816"/>
            <w:vAlign w:val="top"/>
          </w:tcPr>
          <w:p>
            <w:pPr>
              <w:spacing w:after="0"/>
            </w:pPr>
            <w:r>
              <w:rPr>
                <w:sz w:val="16"/>
              </w:rPr>
              <w:t>A pause can provide time to establish data-center-specific standards before approvals advance.</w:t>
            </w:r>
          </w:p>
        </w:tc>
        <w:tc>
          <w:tcPr>
            <w:tcW w:type="dxa" w:w="4968"/>
            <w:vAlign w:val="top"/>
          </w:tcPr>
          <w:p>
            <w:pPr>
              <w:spacing w:after="0"/>
            </w:pPr>
            <w:r>
              <w:rPr>
                <w:sz w:val="16"/>
              </w:rPr>
              <w:t>A moratorium has value only if the time is actively used. It is not a substitute for technical analysis, clear rules, transparency, and a defined review process.</w:t>
            </w:r>
          </w:p>
        </w:tc>
        <w:tc>
          <w:tcPr>
            <w:tcW w:type="dxa" w:w="4320"/>
            <w:vAlign w:val="top"/>
          </w:tcPr>
          <w:p>
            <w:pPr>
              <w:spacing w:after="0"/>
            </w:pPr>
            <w:r>
              <w:rPr>
                <w:sz w:val="16"/>
              </w:rPr>
              <w:t>If a pause is adopted, what specific deliverables, public checkpoints, expert reviews, and ordinance improvements will be completed before it expires?</w:t>
            </w:r>
          </w:p>
        </w:tc>
      </w:tr>
      <w:tr>
        <w:tc>
          <w:tcPr>
            <w:tcW w:type="dxa" w:w="3564"/>
            <w:shd w:fill="D9EAF2"/>
          </w:tcPr>
          <w:p>
            <w:r/>
            <w:r>
              <w:rPr>
                <w:b/>
                <w:sz w:val="17"/>
              </w:rPr>
              <w:t>Opportunity cost &amp; resource allocation</w:t>
            </w:r>
          </w:p>
        </w:tc>
        <w:tc>
          <w:tcPr>
            <w:tcW w:type="dxa" w:w="3564"/>
          </w:tcPr>
          <w:p>
            <w:r/>
            <w:r>
              <w:rPr>
                <w:b w:val="0"/>
                <w:sz w:val="17"/>
              </w:rPr>
              <w:t>Committing a large site and potentially significant power, gas, water, transportation, or other infrastructure capacity to one capital-intensive use can limit alternative future uses or consume capacity that might otherwise support other residents or employers. Opportunity cost is especially relevant where infrastructure capacity is constrained or public investment is project-specific.</w:t>
            </w:r>
          </w:p>
        </w:tc>
        <w:tc>
          <w:tcPr>
            <w:tcW w:type="dxa" w:w="3564"/>
          </w:tcPr>
          <w:p>
            <w:r/>
            <w:r>
              <w:rPr>
                <w:b w:val="0"/>
                <w:sz w:val="17"/>
              </w:rPr>
              <w:t>Declining or delaying a major investment also carries opportunity cost. A different employer, tax base, or development may not materialize, and infrastructure associated with a project can sometimes create capacity or assets useful to future development. The existence and value of either opportunity should be demonstrated rather than assumed.</w:t>
            </w:r>
          </w:p>
        </w:tc>
        <w:tc>
          <w:tcPr>
            <w:tcW w:type="dxa" w:w="3564"/>
          </w:tcPr>
          <w:p>
            <w:r/>
            <w:r>
              <w:rPr>
                <w:b w:val="0"/>
                <w:sz w:val="17"/>
              </w:rPr>
              <w:t>What land and infrastructure capacity would the project commit, for how long, and under what rights? Would that materially constrain other users or future economic-development options? Which project-funded improvements would create reusable public capacity? What realistic alternative uses exist for the property and resources? What does McCormick risk by accepting the project, and what does it risk by declining or delaying it?</w:t>
            </w:r>
          </w:p>
        </w:tc>
      </w:tr>
    </w:tbl>
    <w:p/>
    <w:p>
      <w:r>
        <w:rPr>
          <w:b/>
          <w:color w:val="173F7A"/>
          <w:sz w:val="24"/>
        </w:rPr>
        <w:t>How to use this reference</w:t>
      </w:r>
    </w:p>
    <w:p>
      <w:r>
        <w:rPr>
          <w:b/>
        </w:rPr>
        <w:t xml:space="preserve">The purpose is not to decide the outcome in advance. </w:t>
      </w:r>
      <w:r>
        <w:t>For each topic, the next step should be to obtain McCormick-specific data, identify enforceable protections where needed, and distinguish developer projections from contractual commitments.</w:t>
      </w:r>
    </w:p>
    <w:p>
      <w:r>
        <w:rPr>
          <w:b/>
          <w:color w:val="173F7A"/>
          <w:sz w:val="22"/>
        </w:rPr>
        <w:t>Evidence discipline for future updates</w:t>
      </w:r>
    </w:p>
    <w:p>
      <w:pPr>
        <w:ind w:left="180" w:hanging="180"/>
      </w:pPr>
      <w:r>
        <w:t>• Alternative economic-development ideas belong in the Community Opportunity Files and should be evaluated on their own merits rather than presented as automatic substitutes for a data center.</w:t>
      </w:r>
    </w:p>
    <w:p>
      <w:pPr>
        <w:ind w:left="180" w:hanging="180"/>
      </w:pPr>
      <w:r>
        <w:t>• Advocacy-oriented wording in contributed research can identify questions worth investigating, but McCormick First should publish the underlying verifiable claim rather than the rhetoric.</w:t>
      </w:r>
    </w:p>
    <w:p>
      <w:pPr>
        <w:ind w:left="180" w:hanging="180"/>
      </w:pPr>
      <w:r>
        <w:t>• A new gas pipeline should not be described as a countywide economic benefit until future community access, capacity, ownership, and connection rights are documented.</w:t>
      </w:r>
    </w:p>
    <w:p>
      <w:pPr>
        <w:ind w:left="180" w:hanging="180"/>
      </w:pPr>
      <w:r>
        <w:t>• A technology described as 'closed-loop' should not be treated as synonymous with 'zero-water cooling.' The analysis should identify the complete heat-rejection method, actual withdrawal and consumption, evaporation, blowdown/discharge, and any additional electric load. Independent technical sources should anchor the conclusion; operator claims can be used as clearly labeled real-world examples.</w:t>
      </w:r>
    </w:p>
    <w:p>
      <w:pPr>
        <w:ind w:left="180" w:hanging="180"/>
      </w:pPr>
      <w:r>
        <w:t>• Public-opinion surveys are useful for understanding attitudes, but they are not substitutes for property-sales data, utility studies, or engineering analysis.</w:t>
      </w:r>
    </w:p>
    <w:p>
      <w:r>
        <w:rPr>
          <w:b/>
          <w:color w:val="173F7A"/>
          <w:sz w:val="22"/>
        </w:rPr>
        <w:t>Related Links - useful educational references</w:t>
      </w:r>
    </w:p>
    <w:p>
      <w:pPr>
        <w:ind w:left="220" w:hanging="220"/>
      </w:pPr>
      <w:r>
        <w:rPr>
          <w:b/>
        </w:rPr>
        <w:t xml:space="preserve">• Noise &amp; acoustics: </w:t>
      </w:r>
      <w:hyperlink r:id="rId10">
        <w:r>
          <w:rPr>
            <w:color w:val="0563C1"/>
            <w:u w:val="single"/>
            <w:sz w:val="17"/>
          </w:rPr>
          <w:t>Decibel Level Comparison Chart</w:t>
        </w:r>
      </w:hyperlink>
      <w:r>
        <w:t xml:space="preserve"> - plain-language examples of common sound levels. Included for reader orientation only; project-specific sound predictions should come from professional acoustical modeling and enforceable standards.</w:t>
      </w:r>
    </w:p>
    <w:p>
      <w:r>
        <w:rPr>
          <w:b/>
          <w:color w:val="173F7A"/>
          <w:sz w:val="22"/>
        </w:rPr>
        <w:t>Primary sources used for this discussion draft</w:t>
      </w:r>
    </w:p>
    <w:p>
      <w:pPr>
        <w:ind w:left="216" w:hanging="216"/>
      </w:pPr>
      <w:r>
        <w:t>• Brookings Institution — Local Implications of Data Centers for Rural Communities in the U.S. (rural-community perspective).</w:t>
      </w:r>
    </w:p>
    <w:p>
      <w:pPr>
        <w:ind w:left="216" w:hanging="216"/>
      </w:pPr>
      <w:r>
        <w:t>• Brookings Institution — Supporting Rural Communities Amid the Data Center Boom (rural-community perspective).</w:t>
      </w:r>
    </w:p>
    <w:p>
      <w:pPr>
        <w:ind w:left="216" w:hanging="216"/>
      </w:pPr>
      <w:r>
        <w:t>• Brookings Institution — New Evidence on Data Center Employment Effects (broader county-level statistical study; not rural-only).</w:t>
      </w:r>
    </w:p>
    <w:p>
      <w:pPr>
        <w:ind w:left="216" w:hanging="216"/>
      </w:pPr>
      <w:r>
        <w:t>• Brookings Institution — Data Center Moratoriums Are Not a Substitute for Oversight.</w:t>
      </w:r>
    </w:p>
    <w:p>
      <w:pPr>
        <w:ind w:left="216" w:hanging="216"/>
      </w:pPr>
      <w:r>
        <w:t>• Tract — Data Centers and Residential Property Values (industry perspective; included as such).</w:t>
      </w:r>
    </w:p>
    <w:p>
      <w:pPr>
        <w:ind w:left="216" w:hanging="216"/>
      </w:pPr>
      <w:r>
        <w:t>• Data Center Information, 8/8/2026 — contributed community research document; used to identify concerns for comparison.</w:t>
      </w:r>
    </w:p>
    <w:p>
      <w:r>
        <w:rPr>
          <w:b/>
          <w:color w:val="173F7A"/>
          <w:sz w:val="22"/>
        </w:rPr>
        <w:t>Additional technical references for the energy row</w:t>
      </w:r>
    </w:p>
    <w:p>
      <w:pPr>
        <w:ind w:left="220" w:hanging="220"/>
      </w:pPr>
      <w:r>
        <w:t>• U.S. Department of Energy - How Gas Turbine Power Plants Work (simple-cycle and combined-cycle turbine fundamentals).</w:t>
      </w:r>
    </w:p>
    <w:p>
      <w:pPr>
        <w:ind w:left="220" w:hanging="220"/>
      </w:pPr>
      <w:r>
        <w:t>• U.S. Energy Information Administration - thermoelectric cooling and dry-cooling references (water withdrawal/consumption and cooling-system differences).</w:t>
      </w:r>
    </w:p>
    <w:p>
      <w:pPr/>
      <w:r>
        <w:t>• U.S. Department of Energy / Federal Energy Management Program - data-center cooling-water efficiency and water/energy tradeoff guidance (independent technical anchor).</w:t>
      </w:r>
    </w:p>
    <w:p>
      <w:pPr/>
      <w:r>
        <w:t>• Microsoft - next-generation zero-water-for-cooling design (company-reported industry example; not used as independent proof of performance).</w:t>
      </w:r>
    </w:p>
    <w:p>
      <w:pPr/>
      <w:r>
        <w:t>• Novva Data Centers - water-free cooling facilities and operating claims (company-reported industry example; not used as independent proof of performance).</w:t>
      </w:r>
    </w:p>
    <w:p>
      <w:r>
        <w:rPr>
          <w:b/>
          <w:color w:val="173F7A"/>
          <w:sz w:val="22"/>
        </w:rPr>
        <w:t>Additional discussion sources</w:t>
      </w:r>
    </w:p>
    <w:p>
      <w:pPr>
        <w:ind w:left="220" w:hanging="220"/>
      </w:pPr>
      <w:r>
        <w:rPr>
          <w:sz w:val="17"/>
        </w:rPr>
        <w:t>• Sarah's Job Checklist - contributed analysis used to identify local-workforce questions. Its specific qualification thresholds and staffing/hiring assertions require independent verification before being presented as established facts.</w:t>
      </w:r>
    </w:p>
    <w:p>
      <w:pPr>
        <w:ind w:left="220" w:hanging="220"/>
      </w:pPr>
      <w:r>
        <w:rPr>
          <w:sz w:val="17"/>
        </w:rPr>
        <w:t>• Realtor.com / Louisa County, Virginia construction case study - included as an example of alleged construction impacts, not as evidence that the same impacts will occur in McCormick County.</w:t>
      </w:r>
    </w:p>
    <w:p>
      <w:r>
        <w:rPr>
          <w:b/>
          <w:color w:val="173F7A"/>
          <w:sz w:val="22"/>
        </w:rPr>
        <w:t>Selective update note</w:t>
      </w:r>
    </w:p>
    <w:p>
      <w:pPr>
        <w:ind w:left="216" w:hanging="216"/>
      </w:pPr>
      <w:r>
        <w:rPr>
          <w:b/>
          <w:sz w:val="17"/>
        </w:rPr>
        <w:t xml:space="preserve">• Expanded Data Center Information research: </w:t>
      </w:r>
      <w:r>
        <w:rPr>
          <w:sz w:val="17"/>
        </w:rPr>
        <w:t>Sections 14-26 were reviewed selectively. This revision incorporates the strongest additional questions on cooling tradeoffs, future access to a proposed natural-gas line, and the distinction between housing preference/marketability and measurable property-value effects. More speculative or advocacy-framed claims were not carried forward without stronger verification.</w:t>
      </w:r>
    </w:p>
    <w:p>
      <w:pPr/>
      <w:r>
        <w:t>Revision v12 update note. Strengthened the water/cooling analysis using U.S. Department of Energy technical guidance as the primary anchor. Added Microsoft and Novva only as clearly labeled industry examples showing that low- or zero-evaporative-water cooling designs are being deployed or reported. The revision emphasizes that “closed loop” alone does not establish total water consumption and that lower-water cooling can involve electricity, cost, climate, and reliability tradeoffs.</w:t>
      </w:r>
    </w:p>
    <w:p>
      <w:r>
        <w:rPr>
          <w:b/>
          <w:color w:val="173F7A"/>
          <w:sz w:val="22"/>
        </w:rPr>
        <w:t>Positive case study — Quincy / Grant County, Washington</w:t>
      </w:r>
    </w:p>
    <w:p>
      <w:r/>
    </w:p>
    <w:p>
      <w:r>
        <w:rPr>
          <w:b/>
        </w:rPr>
        <w:t xml:space="preserve">Classification: </w:t>
      </w:r>
      <w:r>
        <w:t xml:space="preserve">Government-documented positive data-center tax-base case study. </w:t>
      </w:r>
      <w:r>
        <w:rPr>
          <w:b/>
        </w:rPr>
        <w:t xml:space="preserve">Use with caution: </w:t>
      </w:r>
      <w:r>
        <w:t>Washington DOR directly attributes substantial assessed-value growth and lower Quincy levy rates to the data-center tax base, but Washington's budget-based levy structure is not the same as South Carolina's property-tax/FILOT framework. The case demonstrates what can occur under one tax structure; it does not establish what would occur in McCormick County.</w:t>
      </w:r>
    </w:p>
    <w:p>
      <w:r>
        <w:rPr>
          <w:b/>
        </w:rPr>
        <w:t xml:space="preserve">Key verified figures: </w:t>
      </w:r>
      <w:r>
        <w:t>Top 10 Grant County taxpayers: $312,977,310 assessed value / $4,246,801 taxes in 2006 versus $6,136,727,665 assessed value / $54,267,353 taxes in 2025. Seven of the top ten were data centers. Quincy city levy rate: $3.12 per $1,000 (2006), $1.97108 (2016), $0.87788 (2025).</w:t>
      </w:r>
    </w:p>
    <w:p>
      <w:r>
        <w:rPr>
          <w:b/>
        </w:rPr>
        <w:t xml:space="preserve">Primary authority: </w:t>
      </w:r>
      <w:r>
        <w:t>Washington State Department of Revenue, Data Center Tax Preference Workgroup — Tax Revenue &amp; Economic Development Subgroup Findings (2025).</w:t>
      </w:r>
    </w:p>
    <w:p>
      <w:r>
        <w:rPr>
          <w:b/>
          <w:color w:val="173F7A"/>
          <w:sz w:val="22"/>
        </w:rPr>
        <w:t>Independent news reference - Virginia utility / ratepayer impact</w:t>
      </w:r>
    </w:p>
    <w:p>
      <w:r>
        <w:rPr>
          <w:b/>
        </w:rPr>
        <w:t xml:space="preserve">Reuters, August 15, 2026: </w:t>
      </w:r>
      <w:r>
        <w:t>Dominion's Virginia fuel costs were reported as rising 88% from 2021 to a forecast $4.35 billion through June 2027, while the utility expected to obtain 23% of its supply from PJM's wholesale market, up from 14% in 2021. Virginia regulatory staff said significant data-center load growth increasingly exposes the utility to volatile wholesale prices. Regulatory filings indicated fuel costs could raise an average monthly bill from $173 to as much as $195, although deferred recovery could reduce the immediate increase.</w:t>
      </w:r>
    </w:p>
    <w:p>
      <w:r>
        <w:rPr>
          <w:b/>
        </w:rPr>
        <w:t xml:space="preserve">McCormick First use: </w:t>
      </w:r>
      <w:r>
        <w:t>This is evidence of a potential utility-system and rate-allocation risk, not proof that every data center raises residential rates. For Palmetto, the key issue is whether proposed on-site generation truly isolates the project's demand and infrastructure costs from existing customers.</w:t>
      </w:r>
    </w:p>
    <w:p>
      <w:r>
        <w:rPr>
          <w:b/>
        </w:rPr>
        <w:t xml:space="preserve">Source classification: </w:t>
      </w:r>
      <w:r>
        <w:t>Independent News / Utility &amp; Ratepayer Impact - Reuters, republished in The Columbus Dispatch, Aug. 15, 2026.</w:t>
      </w:r>
    </w:p>
    <w:p>
      <w:r>
        <w:br w:type="page"/>
      </w:r>
    </w:p>
    <w:p>
      <w:pPr>
        <w:pStyle w:val="Heading1"/>
      </w:pPr>
      <w:r>
        <w:rPr>
          <w:b/>
        </w:rPr>
        <w:t>National Planning Framework and Emerging Policy Responses</w:t>
      </w:r>
    </w:p>
    <w:p>
      <w:r>
        <w:rPr>
          <w:b/>
        </w:rPr>
        <w:t xml:space="preserve">Why this section was added. </w:t>
      </w:r>
      <w:r>
        <w:t>Recent national research and 2026 policy activity provide useful context for McCormick County without determining what outcome is appropriate locally. The material below is included to identify planning questions, safeguards, and policy approaches being considered elsewhere. It should not be read as a recommendation to approve or reject a particular data center proposal.</w:t>
      </w:r>
    </w:p>
    <w:p>
      <w:r>
        <w:rPr>
          <w:b/>
        </w:rPr>
        <w:t>Bipartisan Policy Center — Key Considerations for Data Center Development (July 29, 2026)</w:t>
      </w:r>
    </w:p>
    <w:p>
      <w:r>
        <w:t>The Bipartisan Policy Center (BPC) developed a national planning framework after roundtables and one-on-one interviews with more than 150 participants representing local and state officials, regulators, data center developers and hyperscalers, financial institutions, electric and water utilities, consumer advocates, environmental and conservation organizations, agricultural interests, economic-development interests, affected community members, and data-center opposition groups. BPC states that the final report is its own product and is intended to identify broadly applicable planning considerations rather than prescribe a single outcome.</w:t>
      </w:r>
    </w:p>
    <w:p>
      <w:r>
        <w:rPr>
          <w:b/>
        </w:rPr>
        <w:t>Five considerations identified by BPC:</w:t>
      </w:r>
    </w:p>
    <w:p>
      <w:pPr>
        <w:pStyle w:val="ListBullet"/>
      </w:pPr>
      <w:r>
        <w:t>Transparency and communication</w:t>
      </w:r>
    </w:p>
    <w:p>
      <w:pPr>
        <w:pStyle w:val="ListBullet"/>
      </w:pPr>
      <w:r>
        <w:t>Power and water — utilization, infrastructure, and affordability</w:t>
      </w:r>
    </w:p>
    <w:p>
      <w:pPr>
        <w:pStyle w:val="ListBullet"/>
      </w:pPr>
      <w:r>
        <w:t>Quality of life — facility risk and community impact</w:t>
      </w:r>
    </w:p>
    <w:p>
      <w:pPr>
        <w:pStyle w:val="ListBullet"/>
      </w:pPr>
      <w:r>
        <w:t>Land use and environmental impacts</w:t>
      </w:r>
    </w:p>
    <w:p>
      <w:pPr>
        <w:pStyle w:val="ListBullet"/>
      </w:pPr>
      <w:r>
        <w:t>Economic development</w:t>
      </w:r>
    </w:p>
    <w:p>
      <w:r>
        <w:rPr>
          <w:b/>
        </w:rPr>
        <w:t xml:space="preserve">Relevance to McCormick County. </w:t>
      </w:r>
      <w:r>
        <w:t>The framework closely matches questions already identified in this discussion reference: what project information is available; how infrastructure and resource costs would be allocated; how existing customers would be protected; what noise, land-use, environmental, and quality-of-life standards would apply; what economic benefits would actually reach the host community; and which commitments would be measurable and enforceable.</w:t>
      </w:r>
    </w:p>
    <w:p>
      <w:r>
        <w:rPr>
          <w:b/>
        </w:rPr>
        <w:t xml:space="preserve">Moratorium context. </w:t>
      </w:r>
      <w:r>
        <w:t>BPC treats temporary pauses as planning tools rather than ends in themselves. The value of a pause depends on using the time to gather data, improve transparency, develop appropriate standards, and create a workable review process. This reinforces the existing McCormick First principle that a moratorium should have defined deliverables and should not predetermine either approval or rejection of a future project.</w:t>
      </w:r>
    </w:p>
    <w:p>
      <w:r>
        <w:rPr>
          <w:b/>
        </w:rPr>
        <w:t xml:space="preserve">Important limitation. </w:t>
      </w:r>
      <w:r>
        <w:t>This is a policy and stakeholder-engagement report, not a project-specific engineering study or an independent prediction of impacts in McCormick County. Its questions are useful for structuring local due diligence, but McCormick-specific conclusions still require project documents and appropriate technical, legal, fiscal, utility, environmental, and land-use analysis.</w:t>
      </w:r>
    </w:p>
    <w:p>
      <w:hyperlink r:id="rId11">
        <w:r>
          <w:rPr>
            <w:color w:val="0563C1"/>
            <w:u w:val="single"/>
          </w:rPr>
          <w:t>Bipartisan Policy Center — Key Considerations for Data Center Development</w:t>
        </w:r>
      </w:hyperlink>
    </w:p>
    <w:p>
      <w:r>
        <w:rPr>
          <w:b/>
        </w:rPr>
        <w:t>Emerging 2026 Policy and Political Responses</w:t>
      </w:r>
    </w:p>
    <w:p>
      <w:r>
        <w:t>Data center development has become a more visible public-policy issue in 2026. Governments and candidates from different political perspectives have debated or proposed approaches involving local control, ratepayer protection, grid reliability, water use, transparency, tax incentives, and temporary pauses. At the same time, industry, technology, labor, and economic-development advocates continue to emphasize investment, construction activity, tax revenue, infrastructure investment, and the national economic and strategic importance of expanding computing capacity. These developments show that the underlying policy questions are national in scope; they do not establish what decision McCormick County should make.</w:t>
      </w:r>
    </w:p>
    <w:p>
      <w:r>
        <w:rPr>
          <w:b/>
        </w:rPr>
        <w:t xml:space="preserve">Pennsylvania: </w:t>
      </w:r>
      <w:r>
        <w:t>In August 2026, Gov. Josh Shapiro issued an executive order establishing state-level expectations for data center development involving energy affordability, environmental protection, workforce and economic development, transparency, community engagement, and required local approvals. This is an example of a state attempting to combine development with explicit safeguards.</w:t>
      </w:r>
    </w:p>
    <w:p>
      <w:r>
        <w:rPr>
          <w:b/>
        </w:rPr>
        <w:t xml:space="preserve">Texas: </w:t>
      </w:r>
      <w:r>
        <w:t>In 2026, Gov. Greg Abbott directed an audit of data centers in the ERCOT grid-interconnection process. This should be described as a grid/interconnection review rather than a statewide zoning or construction moratorium.</w:t>
      </w:r>
    </w:p>
    <w:p>
      <w:r>
        <w:rPr>
          <w:b/>
        </w:rPr>
        <w:t xml:space="preserve">Arizona: </w:t>
      </w:r>
      <w:r>
        <w:t>Arizona adopted a three-year pause on its data-center tax credit. This is a pause on a tax incentive, not a statewide prohibition on data-center construction.</w:t>
      </w:r>
    </w:p>
    <w:p>
      <w:r>
        <w:rPr>
          <w:b/>
        </w:rPr>
        <w:t xml:space="preserve">Federal local-control proposal: </w:t>
      </w:r>
      <w:r>
        <w:t>The Protecting Local Control of Data Centers Act was introduced in Congress in August 2026. The proposal concerns federal preemption of state and local land-use, zoning, siting, and permitting authority for data centers on non-federal land. It should be identified as proposed legislation, not current federal law.</w:t>
      </w:r>
    </w:p>
    <w:p>
      <w:r>
        <w:rPr>
          <w:b/>
        </w:rPr>
        <w:t xml:space="preserve">Public opinion: </w:t>
      </w:r>
      <w:r>
        <w:t>Recent national polling has shown substantial concern about nearby data-center development. Polling should be used to understand public sentiment, not as evidence of engineering, fiscal, environmental, or property-value impacts. Survey results can also vary materially depending on how a question describes safeguards, benefits, or project conditions.</w:t>
      </w:r>
    </w:p>
    <w:p>
      <w:r>
        <w:rPr>
          <w:b/>
        </w:rPr>
        <w:t xml:space="preserve">McCormick First interpretation. </w:t>
      </w:r>
      <w:r>
        <w:t>The strongest lesson from these national developments is not that McCormick County should copy another jurisdiction's outcome. It is that local control, ratepayer protection, resource planning, transparency, infrastructure responsibility, and enforceable development standards are legitimate policy questions being addressed across the country. Any local framework should be tailored to McCormick County's actual proposal, infrastructure, laws, finances, community priorities, and available expertise.</w:t>
      </w:r>
    </w:p>
    <w:p>
      <w:r>
        <w:rPr>
          <w:b/>
        </w:rPr>
        <w:t>Additional Sources and Source-Type Notes</w:t>
      </w:r>
    </w:p>
    <w:p>
      <w:pPr>
        <w:pStyle w:val="ListBullet"/>
      </w:pPr>
      <w:r>
        <w:rPr>
          <w:b/>
        </w:rPr>
        <w:t xml:space="preserve">Bipartisan Policy Center — Key Considerations for Data Center Development (July 29, 2026). </w:t>
      </w:r>
      <w:r>
        <w:t xml:space="preserve">National bipartisan policy/planning framework based on stakeholder roundtables and interviews. Useful as a balanced planning anchor; not a McCormick-specific technical study. </w:t>
      </w:r>
      <w:hyperlink r:id="rId11">
        <w:r>
          <w:rPr>
            <w:color w:val="0563C1"/>
            <w:u w:val="single"/>
          </w:rPr>
          <w:t>Source</w:t>
        </w:r>
      </w:hyperlink>
    </w:p>
    <w:p>
      <w:pPr>
        <w:pStyle w:val="ListBullet"/>
      </w:pPr>
      <w:r>
        <w:rPr>
          <w:b/>
        </w:rPr>
        <w:t xml:space="preserve">Data Center Watch. </w:t>
      </w:r>
      <w:r>
        <w:t xml:space="preserve">Tracking/resource site useful for locating local actions and community activity. Treat its counts and classifications as tracker-generated data and verify important examples with primary government records or reliable reporting before public reliance. </w:t>
      </w:r>
      <w:hyperlink r:id="rId12">
        <w:r>
          <w:rPr>
            <w:color w:val="0563C1"/>
            <w:u w:val="single"/>
          </w:rPr>
          <w:t>Source</w:t>
        </w:r>
      </w:hyperlink>
    </w:p>
    <w:p>
      <w:r>
        <w:rPr>
          <w:b/>
        </w:rPr>
        <w:t xml:space="preserve">Revision v8 update note. </w:t>
      </w:r>
      <w:r>
        <w:t>Added the July 2026 Bipartisan Policy Center planning framework and a neutral summary of emerging 2026 policy responses. Advocacy-oriented election language and unverified national claims were not carried forward. State actions are described narrowly so that grid reviews, tax-credit pauses, and proposed legislation are not mislabeled as construction moratoriums or enacted law.</w:t>
      </w:r>
    </w:p>
    <w:p>
      <w:r>
        <w:br w:type="page"/>
      </w:r>
    </w:p>
    <w:p>
      <w:r>
        <w:rPr>
          <w:b/>
        </w:rPr>
        <w:t>2026 National Debate - Competing Political and Economic Perspectives</w:t>
      </w:r>
    </w:p>
    <w:p>
      <w:r>
        <w:rPr>
          <w:b/>
        </w:rPr>
        <w:t xml:space="preserve">Why this update matters. </w:t>
      </w:r>
      <w:r>
        <w:t>By late August 2026, data center development had become a visible national and local election issue. Recent reporting also shows that the debate does not divide neatly along party lines: some rural residents, elected officials, and candidates from both major parties are seeking pauses or stronger safeguards, while construction labor, technology interests, economic-development advocates, and national leaders continue to make a strong case for development.</w:t>
      </w:r>
    </w:p>
    <w:p>
      <w:r>
        <w:rPr>
          <w:b/>
        </w:rPr>
        <w:t xml:space="preserve">Cross-partisan concerns. </w:t>
      </w:r>
      <w:r>
        <w:t>Associated Press reporting from rural communities describes opposition crossing traditional political boundaries, with concerns including farmland conversion, water availability, electricity costs, project speed, and community control. Some jurisdictions and state leaders have responded with temporary pauses, grid reviews, tighter standards, or changes to incentives. These actions vary significantly and should not all be described as construction moratoriums.</w:t>
      </w:r>
    </w:p>
    <w:p>
      <w:r>
        <w:rPr>
          <w:b/>
        </w:rPr>
        <w:t xml:space="preserve">The pro-development case remains substantial. </w:t>
      </w:r>
      <w:r>
        <w:t>Supporters emphasize large capital investment, construction employment, longer-term technical jobs, potential tax-base growth, infrastructure investment, and the strategic importance of domestic AI computing capacity. Recent reporting shows building-trades unions and other labor organizations actively supporting data center construction because of the volume and quality of construction work associated with major projects.</w:t>
      </w:r>
    </w:p>
    <w:p>
      <w:r>
        <w:rPr>
          <w:b/>
        </w:rPr>
        <w:t xml:space="preserve">Federal leadership illustrates the competing perspectives. </w:t>
      </w:r>
      <w:r>
        <w:t>President Donald Trump has strongly defended continued U.S. data center development on economic and national-competitiveness grounds. At the same time, Vice President JD Vance has acknowledged concerns in communities where large new loads may contribute to higher utility costs and has emphasized the importance of adding power rather than burdening existing customers. This combination illustrates why economic-development benefits and infrastructure protections should be evaluated together rather than treated as mutually exclusive.</w:t>
      </w:r>
    </w:p>
    <w:p>
      <w:r>
        <w:rPr>
          <w:b/>
        </w:rPr>
        <w:t xml:space="preserve">Election and opinion material. </w:t>
      </w:r>
      <w:r>
        <w:t>Political commentary can help identify issues gaining public attention, but opinion columns should not be treated as independent evidence of technical or local impacts. For that reason, the Wall Street Journal opinion article that prompted this update is classified as an example of the national political debate rather than an anchor research source. The underlying cross-partisan trend is supported separately by Associated Press reporting and other current news coverage.</w:t>
      </w:r>
    </w:p>
    <w:p>
      <w:r>
        <w:rPr>
          <w:b/>
        </w:rPr>
        <w:t xml:space="preserve">McCormick First interpretation. </w:t>
      </w:r>
      <w:r>
        <w:t>The national debate does not answer whether a particular project is appropriate for McCormick County. It reinforces the need to evaluate the underlying questions locally: What benefits are realistic and enforceable? Who pays for required infrastructure? How are existing utility customers protected? What water, land-use, noise, environmental, and public-safety standards apply? What information should be public before major decisions are made? A sound local process should examine both the development opportunity and the safeguards needed to protect the community.</w:t>
      </w:r>
    </w:p>
    <w:p>
      <w:r>
        <w:rPr>
          <w:b/>
        </w:rPr>
        <w:t>Sources for this update</w:t>
      </w:r>
    </w:p>
    <w:p>
      <w:pPr>
        <w:pStyle w:val="ListBullet"/>
      </w:pPr>
      <w:r>
        <w:rPr>
          <w:b/>
        </w:rPr>
        <w:t xml:space="preserve">Associated Press - In a divided America, the left and right unite to oppose artificial intelligence data centers (Aug. 26, 2026). </w:t>
      </w:r>
      <w:r>
        <w:t xml:space="preserve">Current national reporting documenting cross-partisan rural opposition while also presenting labor, economic-development, and national-competitiveness arguments in favor of data centers. </w:t>
      </w:r>
      <w:hyperlink r:id="rId13">
        <w:r>
          <w:rPr>
            <w:color w:val="0563C1"/>
            <w:u w:val="single"/>
          </w:rPr>
          <w:t>Source</w:t>
        </w:r>
      </w:hyperlink>
    </w:p>
    <w:p>
      <w:pPr>
        <w:pStyle w:val="ListBullet"/>
      </w:pPr>
      <w:r>
        <w:rPr>
          <w:b/>
        </w:rPr>
        <w:t xml:space="preserve">Wall Street Journal - Trump Says Communities That Oppose Data Centers Risk Becoming 'Backwards and Poor' (Aug. 31, 2026). </w:t>
      </w:r>
      <w:r>
        <w:t xml:space="preserve">Straight-news coverage useful for documenting the national pro-development argument and acknowledgment of utility-cost concerns. </w:t>
      </w:r>
      <w:hyperlink r:id="rId14">
        <w:r>
          <w:rPr>
            <w:color w:val="0563C1"/>
            <w:u w:val="single"/>
          </w:rPr>
          <w:t>Source</w:t>
        </w:r>
      </w:hyperlink>
    </w:p>
    <w:p>
      <w:pPr>
        <w:pStyle w:val="ListBullet"/>
      </w:pPr>
      <w:r>
        <w:rPr>
          <w:b/>
        </w:rPr>
        <w:t xml:space="preserve">Wall Street Journal Opinion - Data-center / 2026 election commentary. </w:t>
      </w:r>
      <w:r>
        <w:t xml:space="preserve">Included only as an example of political commentary surrounding the issue; not relied upon as an independent technical or policy research source. </w:t>
      </w:r>
      <w:hyperlink r:id="rId15">
        <w:r>
          <w:rPr>
            <w:color w:val="0563C1"/>
            <w:u w:val="single"/>
          </w:rPr>
          <w:t>Source</w:t>
        </w:r>
      </w:hyperlink>
    </w:p>
    <w:p>
      <w:r>
        <w:rPr>
          <w:b/>
        </w:rPr>
        <w:t xml:space="preserve">Revision v9 update note. </w:t>
      </w:r>
      <w:r>
        <w:t>Expanded the 2026 national-policy section to document both the growing cross-partisan push for stronger safeguards and the organized pro-development case from labor, economic-development, technology, and national-security perspectives. The Wall Street Journal opinion article is clearly labeled as commentary and is not used as an anchor factual source.</w:t>
      </w:r>
    </w:p>
    <w:p>
      <w:r>
        <w:br w:type="page"/>
      </w:r>
    </w:p>
    <w:p>
      <w:pPr>
        <w:pStyle w:val="Heading1"/>
      </w:pPr>
      <w:r>
        <w:t>Community Preparedness and Informed Decision-Making</w:t>
      </w:r>
    </w:p>
    <w:p>
      <w:r>
        <w:rPr>
          <w:b/>
        </w:rPr>
        <w:t xml:space="preserve">Why this section was added. </w:t>
      </w:r>
      <w:r>
        <w:t>Across the country, communities considering large-scale data center development are increasingly examining project details beyond initial questions of investment and job creation. Residents, local governments, and community organizations have reviewed utility requirements, tax and incentive agreements, infrastructure costs, land-use impacts, environmental considerations, and proposed community benefits before major development decisions are finalized.</w:t>
      </w:r>
    </w:p>
    <w:p>
      <w:r>
        <w:rPr>
          <w:b/>
        </w:rPr>
        <w:t xml:space="preserve">Data-center literacy. </w:t>
      </w:r>
      <w:r>
        <w:t>Greater access to project-specific information can improve the quality of public discussion. Rather than determining whether a project should be supported or opposed, this type of community preparedness can help residents and decision-makers identify questions requiring technical analysis, distinguish documented commitments from preliminary projections, and evaluate both potential benefits and potential costs.</w:t>
      </w:r>
    </w:p>
    <w:p>
      <w:r>
        <w:rPr>
          <w:b/>
        </w:rPr>
        <w:t xml:space="preserve">Timing of community expectations. </w:t>
      </w:r>
      <w:r>
        <w:t>Experiences in communities such as Wilmington, Ohio, and parts of Virginia illustrate why the timing of public information and community expectations matters. Questions concerning infrastructure improvements, utility costs, environmental monitoring, local employment, tax arrangements, and other community commitments may be most effectively addressed while a locality still has meaningful negotiating and approval authority.</w:t>
      </w:r>
    </w:p>
    <w:p>
      <w:r>
        <w:rPr>
          <w:b/>
        </w:rPr>
        <w:t xml:space="preserve">Community benefit agreements and similar commitments. </w:t>
      </w:r>
      <w:r>
        <w:t>Some communities and policy organizations have examined Community Benefit Agreements or other enforceable development commitments as tools for establishing responsibilities and benefits before project approval or construction. The structure, legal authority, and enforceability of these arrangements vary by jurisdiction and should be evaluated under applicable state and local law. Their relevance here is as a planning question, not as a recommendation that McCormick County adopt any particular model.</w:t>
      </w:r>
    </w:p>
    <w:p>
      <w:r>
        <w:rPr>
          <w:b/>
        </w:rPr>
        <w:t xml:space="preserve">Important counterpoint. </w:t>
      </w:r>
      <w:r>
        <w:t>Greater community involvement does not necessarily mean opposition to development. Informed participation can result in opposition, project modification, additional protections, negotiated benefits, or greater public confidence in a project that ultimately proceeds. At the same time, lengthy or uncertain review processes can increase project costs and timelines, and developers may favor jurisdictions with faster or more predictable approvals. Public participation should inform - not substitute for - qualified technical, financial, legal, and engineering analysis.</w:t>
      </w:r>
    </w:p>
    <w:p>
      <w:r>
        <w:rPr>
          <w:b/>
        </w:rPr>
        <w:t>Comparison - value of early preparation and the corresponding tradeoff</w:t>
      </w:r>
    </w:p>
    <w:tbl>
      <w:tblPr>
        <w:tblStyle w:val="TableGrid"/>
        <w:tblW w:type="auto" w:w="0"/>
        <w:jc w:val="center"/>
        <w:tblLook w:firstColumn="1" w:firstRow="1" w:lastColumn="0" w:lastRow="0" w:noHBand="0" w:noVBand="1" w:val="04A0"/>
      </w:tblPr>
      <w:tblGrid>
        <w:gridCol w:w="7128"/>
        <w:gridCol w:w="7128"/>
      </w:tblGrid>
      <w:tr>
        <w:tc>
          <w:tcPr>
            <w:tcW w:type="dxa" w:w="7128"/>
            <w:vAlign w:val="top"/>
            <w:shd w:fill="D9EAF7"/>
          </w:tcPr>
          <w:p>
            <w:r>
              <w:rPr>
                <w:b/>
                <w:sz w:val="19"/>
              </w:rPr>
              <w:t>Potential value of early community preparation</w:t>
            </w:r>
          </w:p>
        </w:tc>
        <w:tc>
          <w:tcPr>
            <w:tcW w:type="dxa" w:w="7128"/>
            <w:vAlign w:val="top"/>
            <w:shd w:fill="D9EAF7"/>
          </w:tcPr>
          <w:p>
            <w:r>
              <w:rPr>
                <w:b/>
                <w:sz w:val="19"/>
              </w:rPr>
              <w:t>Important counterpoint</w:t>
            </w:r>
          </w:p>
        </w:tc>
      </w:tr>
      <w:tr>
        <w:tc>
          <w:tcPr>
            <w:tcW w:type="dxa" w:w="7128"/>
            <w:vAlign w:val="top"/>
          </w:tcPr>
          <w:p>
            <w:r>
              <w:rPr>
                <w:sz w:val="19"/>
              </w:rPr>
              <w:t>Identifies infrastructure and resource questions before approval.</w:t>
            </w:r>
          </w:p>
        </w:tc>
        <w:tc>
          <w:tcPr>
            <w:tcW w:type="dxa" w:w="7128"/>
            <w:vAlign w:val="top"/>
          </w:tcPr>
          <w:p>
            <w:r>
              <w:rPr>
                <w:sz w:val="19"/>
              </w:rPr>
              <w:t>Additional study can increase project timelines and costs.</w:t>
            </w:r>
          </w:p>
        </w:tc>
      </w:tr>
      <w:tr>
        <w:tc>
          <w:tcPr>
            <w:tcW w:type="dxa" w:w="7128"/>
            <w:vAlign w:val="top"/>
          </w:tcPr>
          <w:p>
            <w:r>
              <w:rPr>
                <w:sz w:val="19"/>
              </w:rPr>
              <w:t>Separates projections from enforceable commitments.</w:t>
            </w:r>
          </w:p>
        </w:tc>
        <w:tc>
          <w:tcPr>
            <w:tcW w:type="dxa" w:w="7128"/>
            <w:vAlign w:val="top"/>
          </w:tcPr>
          <w:p>
            <w:r>
              <w:rPr>
                <w:sz w:val="19"/>
              </w:rPr>
              <w:t>Developers may choose communities with faster or more predictable approval processes.</w:t>
            </w:r>
          </w:p>
        </w:tc>
      </w:tr>
      <w:tr>
        <w:tc>
          <w:tcPr>
            <w:tcW w:type="dxa" w:w="7128"/>
            <w:vAlign w:val="top"/>
          </w:tcPr>
          <w:p>
            <w:r>
              <w:rPr>
                <w:sz w:val="19"/>
              </w:rPr>
              <w:t>Establishes community expectations while meaningful negotiating authority remains.</w:t>
            </w:r>
          </w:p>
        </w:tc>
        <w:tc>
          <w:tcPr>
            <w:tcW w:type="dxa" w:w="7128"/>
            <w:vAlign w:val="top"/>
          </w:tcPr>
          <w:p>
            <w:r>
              <w:rPr>
                <w:sz w:val="19"/>
              </w:rPr>
              <w:t>Requirements should be proportional to documented project impacts and supported by legal authority.</w:t>
            </w:r>
          </w:p>
        </w:tc>
      </w:tr>
      <w:tr>
        <w:tc>
          <w:tcPr>
            <w:tcW w:type="dxa" w:w="7128"/>
            <w:vAlign w:val="top"/>
          </w:tcPr>
          <w:p>
            <w:r>
              <w:rPr>
                <w:sz w:val="19"/>
              </w:rPr>
              <w:t>Allows benefits and protections to be discussed before construction.</w:t>
            </w:r>
          </w:p>
        </w:tc>
        <w:tc>
          <w:tcPr>
            <w:tcW w:type="dxa" w:w="7128"/>
            <w:vAlign w:val="top"/>
          </w:tcPr>
          <w:p>
            <w:r>
              <w:rPr>
                <w:sz w:val="19"/>
              </w:rPr>
              <w:t>Negotiated commitments require clear terms, accountability, and enforceability to have lasting value.</w:t>
            </w:r>
          </w:p>
        </w:tc>
      </w:tr>
      <w:tr>
        <w:tc>
          <w:tcPr>
            <w:tcW w:type="dxa" w:w="7128"/>
            <w:vAlign w:val="top"/>
          </w:tcPr>
          <w:p>
            <w:r>
              <w:rPr>
                <w:sz w:val="19"/>
              </w:rPr>
              <w:t>Gives residents better information for evaluating a proposal.</w:t>
            </w:r>
          </w:p>
        </w:tc>
        <w:tc>
          <w:tcPr>
            <w:tcW w:type="dxa" w:w="7128"/>
            <w:vAlign w:val="top"/>
          </w:tcPr>
          <w:p>
            <w:r>
              <w:rPr>
                <w:sz w:val="19"/>
              </w:rPr>
              <w:t>Public participation should inform, not replace, professional technical analysis.</w:t>
            </w:r>
          </w:p>
        </w:tc>
      </w:tr>
    </w:tbl>
    <w:p>
      <w:r>
        <w:rPr>
          <w:b/>
        </w:rPr>
        <w:t xml:space="preserve">Relevance to McCormick County. </w:t>
      </w:r>
      <w:r>
        <w:t>Experiences elsewhere do not determine whether data center development is appropriate for McCormick County. They do demonstrate the value of establishing clear standards, obtaining project-specific technical information, and identifying community expectations before major development decisions are made. An informed community is better positioned to evaluate both potential benefits and potential costs, while developers and public officials benefit when expectations concerning infrastructure, utilities, environmental protections, financial commitments, and community benefits are established before final approval stages.</w:t>
      </w:r>
    </w:p>
    <w:p>
      <w:r>
        <w:rPr>
          <w:b/>
        </w:rPr>
        <w:t xml:space="preserve">Question for a temporary moratorium: </w:t>
      </w:r>
      <w:r>
        <w:t>What should McCormick County understand, require, and be prepared to negotiate before considering a specific data center proposal?</w:t>
      </w:r>
    </w:p>
    <w:p>
      <w:r>
        <w:rPr>
          <w:b/>
        </w:rPr>
        <w:t>Sources and source-type notes</w:t>
      </w:r>
    </w:p>
    <w:p>
      <w:pPr>
        <w:pStyle w:val="ListBullet"/>
      </w:pPr>
      <w:r>
        <w:t>Bipartisan Policy Center - Key Considerations for Data Center Development (July 29, 2026). Balanced national planning framework; its transparency and communication discussion supports early access to understandable project information and meaningful community engagement.</w:t>
      </w:r>
    </w:p>
    <w:p>
      <w:pPr>
        <w:pStyle w:val="ListBullet"/>
      </w:pPr>
      <w:r>
        <w:t>Policy Matters Ohio / Good Jobs First - Wilmington, Ohio analysis of the proposed Amazon data-center incentive arrangement and potential community-benefit provisions. Advocacy/policy-analysis source; use for the documented agreement details and questions raised, while distinguishing its conclusions from neutral findings.</w:t>
      </w:r>
    </w:p>
    <w:p>
      <w:pPr>
        <w:pStyle w:val="ListBullet"/>
      </w:pPr>
      <w:r>
        <w:t>Washington Post / Schar School polling - Virginia public opinion on data-center development. Useful for documenting changing public attitudes; polling does not establish project-specific impacts.</w:t>
      </w:r>
    </w:p>
    <w:p>
      <w:pPr>
        <w:pStyle w:val="ListBullet"/>
      </w:pPr>
      <w:r>
        <w:t>Data Center Watch - national tracker of community opposition and delayed/blocked projects. Useful as a tracking/resource source; its counts and classifications should be attributed and important examples independently verified.</w:t>
      </w:r>
    </w:p>
    <w:p>
      <w:r>
        <w:rPr>
          <w:b/>
        </w:rPr>
        <w:t xml:space="preserve">Revision v10 update note. </w:t>
      </w:r>
      <w:r>
        <w:t>Added a balanced section on community preparedness and informed decision-making. The update preserves the useful concept of data-center literacy while removing adversarial assumptions from contributed research, introduces Community Benefit Agreements and similar enforceable commitments as a research question, and pairs the potential value of early community preparation with corresponding development and process tradeoffs.</w:t>
      </w:r>
    </w:p>
    <w:p>
      <w:r>
        <w:br w:type="page"/>
      </w:r>
    </w:p>
    <w:p>
      <w:pPr>
        <w:pStyle w:val="Heading1"/>
      </w:pPr>
      <w:r>
        <w:t>Economic Development, FILOTs and Opportunity Cost</w:t>
      </w:r>
    </w:p>
    <w:p>
      <w:r>
        <w:rPr>
          <w:b/>
        </w:rPr>
        <w:t xml:space="preserve">Why this section was added. </w:t>
      </w:r>
      <w:r>
        <w:t>Contributed research questioning pro-development claims raised several legitimate economic questions, but also used accusatory language and treated disputed assumptions as established facts. This update retains the questions that can be evaluated objectively and presents them alongside the corresponding pro-development case.</w:t>
      </w:r>
    </w:p>
    <w:p>
      <w:r>
        <w:rPr>
          <w:b/>
        </w:rPr>
        <w:t xml:space="preserve">Gross revenue versus net fiscal benefit. </w:t>
      </w:r>
      <w:r>
        <w:t>South Carolina describes a Fee in Lieu of Tax (FILOT) as a negotiated property-tax incentive between a company and the county. SCDOR states that qualifying investments may negotiate an assessment ratio from 10.5% to 6%, and qualifying very large investments may reach 4%. The county and company may also negotiate millage treatment, and the county may grant credits against the fee. Personal property subject to a FILOT depreciates in accordance with South Carolina law, while treatment of real property depends on the agreement. For McCormick, a projected annual payment should therefore be evaluated together with the terms of the actual agreement, other incentives, depreciation, revenue allocation, and identifiable public costs.</w:t>
      </w:r>
    </w:p>
    <w:p>
      <w:r>
        <w:rPr>
          <w:b/>
        </w:rPr>
        <w:t xml:space="preserve">Data-center-specific tax treatment. </w:t>
      </w:r>
      <w:r>
        <w:t>South Carolina also provides a sales-and-use-tax exemption for qualifying data centers covering specified computers, computer equipment, hardware/software, eligible business property, and qualifying electricity. These provisions are separate from a county FILOT and should not be combined into a single 'discount' percentage. A complete project fiscal analysis should identify each incentive or exemption separately and show how it changes the public and private economics of the project.</w:t>
      </w:r>
    </w:p>
    <w:p>
      <w:r>
        <w:rPr>
          <w:b/>
        </w:rPr>
        <w:t xml:space="preserve">Capital investment versus employment. </w:t>
      </w:r>
      <w:r>
        <w:t>Data centers are generally capital-intensive rather than labor-intensive. That creates a genuine tradeoff rather than a simple positive or negative conclusion. A host community may receive a large taxable investment without the population and service demands associated with thousands of permanent workers; at the same time, permanent direct employment and payroll-driven local spending may be modest relative to the scale of the capital investment and land use. Construction employment, wages, local hiring, permanent staffing, indirect activity, and public revenue should therefore be reported separately.</w:t>
      </w:r>
    </w:p>
    <w:p>
      <w:r>
        <w:rPr>
          <w:b/>
        </w:rPr>
        <w:t xml:space="preserve">Opportunity cost works in both directions. </w:t>
      </w:r>
      <w:r>
        <w:t>Approving a large project can commit land and infrastructure capacity and may reduce flexibility for other future uses. Declining or delaying a project can also mean foregoing investment, revenue, infrastructure, and employment that may not be replaced by another opportunity. A balanced evaluation should identify realistic alternatives and constrained resources rather than assuming either that another industry will arrive or that the current project is the only opportunity McCormick will receive.</w:t>
      </w:r>
    </w:p>
    <w:p>
      <w:r>
        <w:rPr>
          <w:b/>
        </w:rPr>
        <w:t xml:space="preserve">Infrastructure cost allocation. </w:t>
      </w:r>
      <w:r>
        <w:t>New public revenue should not automatically be treated as net community benefit, but neither should project-related infrastructure costs automatically be assumed to consume that revenue. The useful question is who pays: the developer, a utility, the County or another public entity, and existing customers/ratepayers. Project-specific infrastructure commitments should be separated from general public expenditures that new revenue might support.</w:t>
      </w:r>
    </w:p>
    <w:p>
      <w:r>
        <w:rPr>
          <w:b/>
        </w:rPr>
        <w:t xml:space="preserve">Relevance to McCormick County. </w:t>
      </w:r>
      <w:r>
        <w:t>The central fiscal question is not whether a proposed project can produce a large investment figure or a large annual payment. It is what McCormick County, its schools, utilities, residents, and businesses would gain and incur under the actual negotiated terms. That analysis should distinguish projections from enforceable commitments and gross figures from net results.</w:t>
      </w:r>
    </w:p>
    <w:p>
      <w:r>
        <w:rPr>
          <w:b/>
        </w:rPr>
        <w:t>Key questions for a project-specific fiscal review</w:t>
      </w:r>
    </w:p>
    <w:p>
      <w:pPr>
        <w:pStyle w:val="ListBullet"/>
      </w:pPr>
      <w:r>
        <w:t>What would otherwise applicable property taxes be, and what would the negotiated FILOT payment be, year by year?</w:t>
      </w:r>
    </w:p>
    <w:p>
      <w:pPr>
        <w:pStyle w:val="ListBullet"/>
      </w:pPr>
      <w:r>
        <w:t>What assessment ratio, millage treatment, credits, term, depreciation rules, revenue-sharing provisions, and other incentives or exemptions would apply?</w:t>
      </w:r>
    </w:p>
    <w:p>
      <w:pPr>
        <w:pStyle w:val="ListBullet"/>
      </w:pPr>
      <w:r>
        <w:t>What project-specific infrastructure and service costs would be paid by the developer, utilities, the County, schools, or existing customers/ratepayers?</w:t>
      </w:r>
    </w:p>
    <w:p>
      <w:pPr>
        <w:pStyle w:val="ListBullet"/>
      </w:pPr>
      <w:r>
        <w:t>What are the projected construction jobs, permanent direct jobs, wages, local-hiring expectations, and indirect/induced economic activity?</w:t>
      </w:r>
    </w:p>
    <w:p>
      <w:pPr>
        <w:pStyle w:val="ListBullet"/>
      </w:pPr>
      <w:r>
        <w:t>What land, utility, and infrastructure capacity would be committed, and could that constrain other users or future development?</w:t>
      </w:r>
    </w:p>
    <w:p>
      <w:pPr>
        <w:pStyle w:val="ListBullet"/>
      </w:pPr>
      <w:r>
        <w:t>What is the projected annual and lifetime net fiscal benefit under conservative assumptions, and what enforceable commitments support that projection?</w:t>
      </w:r>
    </w:p>
    <w:p>
      <w:r>
        <w:rPr>
          <w:b/>
        </w:rPr>
        <w:t>Primary sources and source-type notes</w:t>
      </w:r>
    </w:p>
    <w:p>
      <w:pPr>
        <w:pStyle w:val="ListBullet"/>
      </w:pPr>
      <w:r>
        <w:t>South Carolina Department of Revenue - Fee in Lieu of Taxes. Primary state tax authority for FILOT mechanics, assessment ratios, millage options, depreciation, and county discretion. https://www.dor.sc.gov/property/fee-lieu-taxes</w:t>
      </w:r>
    </w:p>
    <w:p>
      <w:pPr>
        <w:pStyle w:val="ListBullet"/>
      </w:pPr>
      <w:r>
        <w:t>South Carolina Department of Revenue - South Carolina Tax Incentive for Economic Development, Chapter 6 (Negotiated Fees in Lieu of Property Taxes). Primary state tax guidance on FILOT structure and terms.</w:t>
      </w:r>
    </w:p>
    <w:p>
      <w:pPr>
        <w:pStyle w:val="ListBullet"/>
      </w:pPr>
      <w:r>
        <w:t>South Carolina Department of Revenue - South Carolina Tax Incentive for Economic Development, Chapter 8 (Datacenter Exemption). Primary state tax guidance on qualifying data-center sales-and-use-tax exemptions.</w:t>
      </w:r>
    </w:p>
    <w:p>
      <w:pPr>
        <w:pStyle w:val="ListBullet"/>
      </w:pPr>
      <w:r>
        <w:t>Contributed community research - 'What Data Center Proponents Are Saying / What They Are Not Saying.' Used as a research lead to identify questions about FILOTs, jobs, infrastructure cost allocation, rural character, and opportunity cost. Accusatory characterizations, motive claims, and unsupported generalizations were not adopted.</w:t>
      </w:r>
    </w:p>
    <w:p>
      <w:r>
        <w:rPr>
          <w:b/>
        </w:rPr>
        <w:t xml:space="preserve">Revision v11 update note. </w:t>
      </w:r>
      <w:r>
        <w:t>Expanded the economic-development comparison to distinguish gross investment and gross revenue from net fiscal benefit; added South Carolina-specific FILOT and data-center tax context; strengthened the capital-investment-versus-employment comparison; and added opportunity cost/resource allocation as a two-sided question. Contributed advocacy language such as 'lie of omission,' 'cover-up,' 'job illusion,' 'playbook,' and claims about individual motives were excluded in favor of verifiable questions and primary-source tax guidance.</w:t>
      </w:r>
    </w:p>
    <w:sectPr w:rsidR="00FC693F" w:rsidRPr="0006063C" w:rsidSect="00034616">
      <w:footerReference w:type="default" r:id="rId9"/>
      <w:pgSz w:w="15840" w:h="12240" w:orient="landscape"/>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McCormick First • Discussion Draft • For constructive review</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soundproofingguide.com/decibels-level-comparison-chart/" TargetMode="External"/><Relationship Id="rId11" Type="http://schemas.openxmlformats.org/officeDocument/2006/relationships/hyperlink" Target="https://bipartisanpolicy.org/report/key-considerations-for-data-center-development/" TargetMode="External"/><Relationship Id="rId12" Type="http://schemas.openxmlformats.org/officeDocument/2006/relationships/hyperlink" Target="https://www.datacenterwatch.org/" TargetMode="External"/><Relationship Id="rId13" Type="http://schemas.openxmlformats.org/officeDocument/2006/relationships/hyperlink" Target="https://apnews.com/article/a419be82fb6b32a8fc048ac7ffbd1de3" TargetMode="External"/><Relationship Id="rId14" Type="http://schemas.openxmlformats.org/officeDocument/2006/relationships/hyperlink" Target="https://www.wsj.com/politics/policy/trump-says-communities-that-oppose-data-centers-risk-becoming-backwards-and-poor-601f41d7" TargetMode="External"/><Relationship Id="rId15" Type="http://schemas.openxmlformats.org/officeDocument/2006/relationships/hyperlink" Target="https://www.wsj.com/opinion/data-center-u-s-elections-ai-josh-shapiro-sherrod-brown-tom-tiffany-029c93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